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6B181">
      <w:pPr>
        <w:widowControl w:val="0"/>
        <w:spacing w:before="480" w:after="480" w:line="288" w:lineRule="auto"/>
        <w:ind w:left="0"/>
        <w:jc w:val="center"/>
        <w:rPr>
          <w:rFonts w:hint="eastAsia" w:ascii="Arial" w:hAnsi="Arial" w:eastAsia="等线" w:cs="Arial"/>
          <w:b/>
          <w:sz w:val="52"/>
          <w:lang w:eastAsia="zh-CN"/>
        </w:rPr>
      </w:pPr>
      <w:r>
        <w:rPr>
          <w:rFonts w:ascii="Arial" w:hAnsi="Arial" w:eastAsia="等线" w:cs="Arial"/>
          <w:b/>
          <w:sz w:val="52"/>
          <w:szCs w:val="22"/>
        </w:rPr>
        <w:t>关于资产处置线下竞价规则</w:t>
      </w:r>
    </w:p>
    <w:p w14:paraId="5D18CB60">
      <w:pPr>
        <w:widowControl w:val="0"/>
        <w:spacing w:before="120" w:after="120" w:line="288" w:lineRule="auto"/>
        <w:ind w:left="0" w:firstLine="560" w:firstLineChars="200"/>
        <w:jc w:val="left"/>
        <w:rPr>
          <w:rFonts w:hint="eastAsia" w:ascii="Arial" w:hAnsi="Arial" w:eastAsia="等线" w:cs="Arial"/>
          <w:sz w:val="22"/>
          <w:lang w:eastAsia="zh-CN"/>
        </w:rPr>
      </w:pPr>
      <w:r>
        <w:rPr>
          <w:rFonts w:hint="eastAsia" w:ascii="方正仿宋_GB2312" w:hAnsi="方正仿宋_GB2312" w:eastAsia="方正仿宋_GB2312" w:cs="方正仿宋_GB2312"/>
          <w:sz w:val="28"/>
          <w:szCs w:val="28"/>
        </w:rPr>
        <w:t>为切实规范本次国有资产处置线下竞价行为，充分保障资产处置方、意向受让方（以下简称“竞买人”）的合法权益，确保竞价过程实现公开、公平、公正以及诚实信用的原则，严格遵循国有资产管理相关法律法规要求，紧密结合本次资产处置公告相关约定，特制定本规则。本规则作为资产处置公告的补充条款，与公告具备同等法律效力。所有参与线下竞价的竞买人，皆视为已认真仔细阅读、全面深入理解并自愿遵守本规则全部内容。若有违反本规则的行为，将承担相应法律责任及违约后果。</w:t>
      </w:r>
    </w:p>
    <w:p w14:paraId="45EE7073">
      <w:pPr>
        <w:spacing w:before="320" w:after="120" w:line="288" w:lineRule="auto"/>
        <w:ind w:left="0"/>
        <w:jc w:val="left"/>
        <w:outlineLvl w:val="1"/>
      </w:pPr>
      <w:bookmarkStart w:id="0" w:name="heading_0"/>
      <w:r>
        <w:rPr>
          <w:rFonts w:ascii="Arial" w:hAnsi="Arial" w:eastAsia="等线" w:cs="Arial"/>
          <w:b/>
          <w:sz w:val="32"/>
        </w:rPr>
        <w:t>一、竞价前提与资格确认</w:t>
      </w:r>
      <w:bookmarkEnd w:id="0"/>
    </w:p>
    <w:p w14:paraId="38022BD6">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线下竞价仅适用于公告期内征集到两家及以上符合条件的意向受让方的情形（若仅征集到一家符合条件的意向受让方，按公告约定采取协议处置方式成交），竞买人需已完成资格确认并足额交纳保证金，方可参与线下竞价。本次资产处置已履行国有资产处置审批手续，未经批准不得擅自处置资产。</w:t>
      </w:r>
    </w:p>
    <w:p w14:paraId="289A93C7">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参与竞价前，需再次确认自身符合受让资格，联合受让方需出具联合受让协议（明确各方权利义务、出资比例及违约责任），经处置方核对确认后，方可参与竞价，联合受让方视为一个整体参与竞价，共同承担成交后的全部权利义务。</w:t>
      </w:r>
    </w:p>
    <w:p w14:paraId="14C81132">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需携带本人（或授权代理人）身份证原件、资格确认通知书、保证金缴纳凭证，在竞价开始前30分钟到场签到，领取竞价号牌及竞价相关资料，未按时签到或资料不全者，视为自动放弃竞价资格，已缴纳的保证金不予退还。工作人员全程监督签到过程，做好相关记录备案。</w:t>
      </w:r>
    </w:p>
    <w:p w14:paraId="2248BF3B">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本次竞价</w:t>
      </w:r>
      <w:r>
        <w:rPr>
          <w:rFonts w:hint="eastAsia" w:ascii="方正仿宋_GB2312" w:hAnsi="方正仿宋_GB2312" w:eastAsia="方正仿宋_GB2312" w:cs="方正仿宋_GB2312"/>
          <w:sz w:val="28"/>
          <w:szCs w:val="28"/>
          <w:lang w:val="en-US" w:eastAsia="zh-CN"/>
        </w:rPr>
        <w:t>是否存</w:t>
      </w:r>
      <w:r>
        <w:rPr>
          <w:rFonts w:hint="eastAsia" w:ascii="方正仿宋_GB2312" w:hAnsi="方正仿宋_GB2312" w:eastAsia="方正仿宋_GB2312" w:cs="方正仿宋_GB2312"/>
          <w:sz w:val="28"/>
          <w:szCs w:val="28"/>
        </w:rPr>
        <w:t>在优先权（依据资产处置公告约定：□是 ☑否），所有竞买人享有平等竞价权利，无任何优先受让情形，严格遵循竞争择优原则，杜绝暗箱操作、违规倾斜等行为，保障国有资产权益不受损害。</w:t>
      </w:r>
    </w:p>
    <w:p w14:paraId="1FFB7C02">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bookmarkStart w:id="1" w:name="heading_1"/>
      <w:r>
        <w:rPr>
          <w:rFonts w:hint="eastAsia" w:ascii="方正仿宋_GB2312" w:hAnsi="方正仿宋_GB2312" w:eastAsia="方正仿宋_GB2312" w:cs="方正仿宋_GB2312"/>
          <w:sz w:val="28"/>
          <w:szCs w:val="28"/>
        </w:rPr>
        <w:t>二、竞价准备与现场纪律</w:t>
      </w:r>
      <w:bookmarkEnd w:id="1"/>
    </w:p>
    <w:p w14:paraId="7EABEB29">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价现场由处置方组织，设置主持人1名、记录员1名、监审员1名（可由纪检监察人员或第三方监督人员担任），负责竞价过程的主持、记录、监督工作，确保竞价过程规范有序、全程可追溯，相关记录留存归档，以备国有资产监管部门核查。</w:t>
      </w:r>
    </w:p>
    <w:p w14:paraId="1C9FE37A">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价开始前，主持人将宣读本次资产处置相关信息（包括标的概况、挂牌底价、加价幅度、竞价规则、成交后履约要求等），明确本次资产处置已完成资产评估及审批备案手续，竞买人需认真聆听，若有疑问，需在竞价开始前提出，竞价开始后，不再接受任何关于规则及标的的咨询。</w:t>
      </w:r>
    </w:p>
    <w:p w14:paraId="409F1A36">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需遵守现场纪律，不得喧哗、不得恶意串通、不得干扰竞价秩序，不得阻碍其他竞买人竞价，若出现上述行为，主持人有权终止其竞价资格，已缴纳的保证金不予退还，情节严重的，将追究其法律责任，并将其违规行为记入资产交易不良信用记录，限制其参与后续资产处置项目。</w:t>
      </w:r>
    </w:p>
    <w:p w14:paraId="1E1FBB5B">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委托代理人参与竞价的，代理人需出具授权委托书原件及本人身份证原件，授权委托书需明确委托权限，代理人的一切行为均视为委托人的行为，由此产生的全部责任由委托人承担，处置方对授权委托书的真实性、合法性进行核对确认。</w:t>
      </w:r>
    </w:p>
    <w:p w14:paraId="41DBC0CC">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本次资产为整体处置（依据资产处置公告约定：☑整体处置 □单独处置 □其他），竞买人竞价即视为同意对标的资产整体受让，不得要求拆分受让，处置过程严格遵循国有资产整体处置相关规定，确保资产处置的完整性和合规性。</w:t>
      </w:r>
    </w:p>
    <w:p w14:paraId="6DBEDC79">
      <w:pPr>
        <w:spacing w:before="320" w:after="120" w:line="288" w:lineRule="auto"/>
        <w:ind w:left="0"/>
        <w:jc w:val="left"/>
        <w:outlineLvl w:val="1"/>
      </w:pPr>
      <w:bookmarkStart w:id="2" w:name="heading_2"/>
      <w:r>
        <w:rPr>
          <w:rFonts w:ascii="Arial" w:hAnsi="Arial" w:eastAsia="等线" w:cs="Arial"/>
          <w:b/>
          <w:sz w:val="32"/>
        </w:rPr>
        <w:t>三、竞价流程与规则</w:t>
      </w:r>
      <w:bookmarkEnd w:id="2"/>
    </w:p>
    <w:p w14:paraId="6B8BCBC7">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竞价方式：采用增价竞价方式，以经审批备案的挂牌底价</w:t>
      </w:r>
      <w:r>
        <w:rPr>
          <w:rFonts w:hint="eastAsia" w:ascii="方正仿宋_GB2312" w:hAnsi="方正仿宋_GB2312" w:eastAsia="方正仿宋_GB2312" w:cs="方正仿宋_GB2312"/>
          <w:sz w:val="28"/>
          <w:szCs w:val="28"/>
          <w:lang w:eastAsia="zh-CN"/>
        </w:rPr>
        <w:t>（以</w:t>
      </w:r>
      <w:r>
        <w:rPr>
          <w:rFonts w:hint="eastAsia" w:ascii="方正仿宋_GB2312" w:hAnsi="方正仿宋_GB2312" w:eastAsia="方正仿宋_GB2312" w:cs="方正仿宋_GB2312"/>
          <w:sz w:val="28"/>
          <w:szCs w:val="28"/>
        </w:rPr>
        <w:t>资产评估价为基础确定）为起始价，竞买人依次加价，最终报价最高且不低于底价者，成为最终受让方（报价相同的，先报价者优先），严格遵循“价高者得”原则，保障国有资产保值增值，符合国有资产处置要求。</w:t>
      </w:r>
    </w:p>
    <w:p w14:paraId="0932D9AE">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加价幅度：本次竞价设定固定加价幅度（</w:t>
      </w:r>
      <w:bookmarkStart w:id="5" w:name="_GoBack"/>
      <w:bookmarkEnd w:id="5"/>
      <w:r>
        <w:rPr>
          <w:rFonts w:hint="eastAsia" w:ascii="方正仿宋_GB2312" w:hAnsi="方正仿宋_GB2312" w:eastAsia="方正仿宋_GB2312" w:cs="方正仿宋_GB2312"/>
          <w:sz w:val="28"/>
          <w:szCs w:val="28"/>
        </w:rPr>
        <w:t>每次加价不低于</w:t>
      </w:r>
      <w:r>
        <w:rPr>
          <w:rFonts w:hint="default" w:ascii="方正仿宋_GB2312" w:hAnsi="方正仿宋_GB2312" w:eastAsia="方正仿宋_GB2312" w:cs="方正仿宋_GB2312"/>
          <w:sz w:val="28"/>
          <w:szCs w:val="28"/>
          <w:lang w:val="en-US" w:eastAsia="zh-CN"/>
        </w:rPr>
        <w:t>100</w:t>
      </w:r>
      <w:r>
        <w:rPr>
          <w:rFonts w:hint="eastAsia" w:ascii="方正仿宋_GB2312" w:hAnsi="方正仿宋_GB2312" w:eastAsia="方正仿宋_GB2312" w:cs="方正仿宋_GB2312"/>
          <w:sz w:val="28"/>
          <w:szCs w:val="28"/>
        </w:rPr>
        <w:t>元</w:t>
      </w:r>
      <w:r>
        <w:rPr>
          <w:rFonts w:hint="default" w:ascii="方正仿宋_GB2312" w:hAnsi="方正仿宋_GB2312" w:eastAsia="方正仿宋_GB2312" w:cs="方正仿宋_GB2312"/>
          <w:sz w:val="28"/>
          <w:szCs w:val="28"/>
          <w:lang w:val="en-US"/>
        </w:rPr>
        <w:t>)</w:t>
      </w:r>
      <w:r>
        <w:rPr>
          <w:rFonts w:hint="eastAsia" w:ascii="方正仿宋_GB2312" w:hAnsi="方正仿宋_GB2312" w:eastAsia="方正仿宋_GB2312" w:cs="方正仿宋_GB2312"/>
          <w:sz w:val="28"/>
          <w:szCs w:val="28"/>
        </w:rPr>
        <w:t>，加价幅度需符合国有资产交易相关规定，竞买人可在固定加价幅度基础上自愿提高加价金额，但不得低于固定加价幅度，否则报价无效。</w:t>
      </w:r>
    </w:p>
    <w:p w14:paraId="651D036A">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报价规则：</w:t>
      </w:r>
    </w:p>
    <w:p w14:paraId="6B5D7628">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价开始后，主持人宣布起始价及加价幅度，竞买人通过举牌方式报价，举牌即视为有效报价，报价后不得撤回；若需提高报价，需再次举牌，明确加价金额，记录员实时记录报价情况，监审员全程监督，确保报价真实有效、全程可追溯。</w:t>
      </w:r>
    </w:p>
    <w:p w14:paraId="7CA34BEB">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报价后，主持人将当场重复报价金额，确认无异议后，进入下一轮竞价；若无人继续加价，主持人将连续三次宣读当前最高报价，三次宣读后仍无人加价，且最高报价不低于挂牌底价的，主持人击槌确认成交，最高报价者为最终受让方；若最高报价低于挂牌底价，主持人宣布竞价终止，本次资产处置流标，处置方将按照相关规定重新组织处置，必要时可适当调整挂牌底价。</w:t>
      </w:r>
    </w:p>
    <w:p w14:paraId="2CBE31D1">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竞买人未举牌的，视为放弃本轮报价；连续两轮未报价的，视为自动退出竞价，不得再参与本次竞价，退出后需配合处置方做好相关登记记录。</w:t>
      </w:r>
    </w:p>
    <w:p w14:paraId="49AD8BF8">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竞价时间：每轮报价时间不得超过3分钟，若某一轮竞价中，竞买人迟迟未报价，主持人可适当缩短报价时间（最短不低于30秒），逾期未报价的，视为放弃本轮报价，确保竞价高效有序，符合工作规范。</w:t>
      </w:r>
    </w:p>
    <w:p w14:paraId="554759E7">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殊情况处理：竞价过程中，若出现设备故障、现场秩序混乱等不可抗力因素，主持人有权暂停竞价，待问题解决后，继续竞价；若无法继续竞价，主持人宣布竞价终止，另行通知竞价时间，并将相关情况书面报备监管部门</w:t>
      </w:r>
      <w:r>
        <w:rPr>
          <w:rFonts w:hint="eastAsia" w:ascii="方正仿宋_GB2312" w:hAnsi="方正仿宋_GB2312" w:eastAsia="方正仿宋_GB2312" w:cs="方正仿宋_GB2312"/>
          <w:sz w:val="28"/>
          <w:szCs w:val="28"/>
          <w:lang w:eastAsia="zh-CN"/>
        </w:rPr>
        <w:t>，由</w:t>
      </w:r>
      <w:r>
        <w:rPr>
          <w:rFonts w:hint="eastAsia" w:ascii="方正仿宋_GB2312" w:hAnsi="方正仿宋_GB2312" w:eastAsia="方正仿宋_GB2312" w:cs="方正仿宋_GB2312"/>
          <w:sz w:val="28"/>
          <w:szCs w:val="28"/>
        </w:rPr>
        <w:t>处置方做好后续衔接工作。</w:t>
      </w:r>
    </w:p>
    <w:p w14:paraId="765AFEFC">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bookmarkStart w:id="3" w:name="heading_3"/>
      <w:r>
        <w:rPr>
          <w:rFonts w:hint="eastAsia" w:ascii="方正仿宋_GB2312" w:hAnsi="方正仿宋_GB2312" w:eastAsia="方正仿宋_GB2312" w:cs="方正仿宋_GB2312"/>
          <w:sz w:val="28"/>
          <w:szCs w:val="28"/>
        </w:rPr>
        <w:t>四、成交确认与履约要求</w:t>
      </w:r>
      <w:bookmarkEnd w:id="3"/>
    </w:p>
    <w:p w14:paraId="0D8D2E9B">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价成交后，主持人当场宣布成交结果，监审员签字确认，记录员整理竞价全程记录，归档留存。最终受让方需在竞价结束后3个工作日内，与处置方签署《成交确认书》及资产交易合同，逾期未签署的，视为单方违约，处置方有权收回标的资产，重新处置，已缴纳的保证金不予退还，同时保留追诉其补足再次处置成交金额差值的权利，并将其违约行为记入不良信用记录。</w:t>
      </w:r>
    </w:p>
    <w:p w14:paraId="3DD40BA4">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最终受让方需按照交易合同约定，按时支付成交价款及相关交易费用，成交价款需足额存入处置方指定的财政专户，严格执行“收支两条线”管理规定，若未按期支付，视为违约，处置方有权单方终止交易、解除合同，重新挂牌处置，已缴纳的保证金不予退还，同时追究其违约责任。</w:t>
      </w:r>
    </w:p>
    <w:p w14:paraId="43AAC85A">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交后，最终受让方需配合处置方办理资产移交手续，按标的现状接收资产（依据公告约定：处置方不承担瑕疵担保责任，受让方不得以不了解标的为由退还标的），资产移交过程中产生的费用及风险，由最终受让方承担，处置方做好资产移交记录，及时核销相关资产台账信息，同步完成会计处理。</w:t>
      </w:r>
    </w:p>
    <w:p w14:paraId="15FAFC5C">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若最终受让方未能按本规则、资产处置公告或交易合同约定履行义务，逾期超过10个工作日的，处置方有权单方终止本次交易、解除合同，将标的资产重新挂牌处置，已缴纳的保证金不予退还，同时保留追究其全部违约责任的权利，并将其违约情况书面报备国有资产监管部门。</w:t>
      </w:r>
    </w:p>
    <w:p w14:paraId="7C7F6A6C">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未成交的竞买人，其缴纳的保证金将在竞价结束后5个工作日内，按原缴纳路径无息退还，若竞买人存在违规竞价行为，保证金不予退还，违规情况记入不良信用记录，限制其参与后续资产处置项目。</w:t>
      </w:r>
    </w:p>
    <w:p w14:paraId="473A2F35">
      <w:pPr>
        <w:spacing w:before="320" w:after="120" w:line="288" w:lineRule="auto"/>
        <w:ind w:left="0"/>
        <w:jc w:val="left"/>
        <w:outlineLvl w:val="1"/>
      </w:pPr>
      <w:bookmarkStart w:id="4" w:name="heading_4"/>
      <w:r>
        <w:rPr>
          <w:rFonts w:ascii="Arial" w:hAnsi="Arial" w:eastAsia="等线" w:cs="Arial"/>
          <w:b/>
          <w:sz w:val="32"/>
        </w:rPr>
        <w:t>五、其他约定</w:t>
      </w:r>
      <w:bookmarkEnd w:id="4"/>
    </w:p>
    <w:p w14:paraId="2470C6AB">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线下竞价严格遵循“价高者得”原则，处置方对竞价过程及结果拥有最终解释权，若竞买人对竞价结果有异议，需在竞价结束后2个工作日内以书面形式向处置方提出，逾期未提出的，视为认可竞价结果，处置方收到异议后，需在3个工作日内予以答复，涉及重大异议的，需报备</w:t>
      </w:r>
      <w:r>
        <w:rPr>
          <w:rFonts w:hint="eastAsia" w:ascii="方正仿宋_GB2312" w:hAnsi="方正仿宋_GB2312" w:eastAsia="方正仿宋_GB2312" w:cs="方正仿宋_GB2312"/>
          <w:sz w:val="28"/>
          <w:szCs w:val="28"/>
          <w:lang w:val="en-US" w:eastAsia="zh-CN"/>
        </w:rPr>
        <w:t>监管部门</w:t>
      </w:r>
      <w:r>
        <w:rPr>
          <w:rFonts w:hint="eastAsia" w:ascii="方正仿宋_GB2312" w:hAnsi="方正仿宋_GB2312" w:eastAsia="方正仿宋_GB2312" w:cs="方正仿宋_GB2312"/>
          <w:sz w:val="28"/>
          <w:szCs w:val="28"/>
        </w:rPr>
        <w:t>。</w:t>
      </w:r>
    </w:p>
    <w:p w14:paraId="15CAC0D4">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参与竞价，即视为已完成对标的资产的全部尽职调查，完全认可资产评估报告所披露的内容，自愿按标的现状受让，成交后不得就标的瑕疵、数量、质量等问题向处置方提出异议，处置方不承担任何瑕疵担保责任，符合国有资产处置披露要求。</w:t>
      </w:r>
    </w:p>
    <w:p w14:paraId="75066C7D">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资产整体处置，交易双方在履约过程中对部分标的物产生争议的，应就争议部分协商解决，其余部分继续履行；若合同部分内容被撤销、解除或认定无效，不影响合同其他内容的效力，协商不成的，可依法向人民法院提起诉讼，处置方需将争议情况书面报备国有资产监管部门。</w:t>
      </w:r>
    </w:p>
    <w:p w14:paraId="588DCF2E">
      <w:pPr>
        <w:widowControl w:val="0"/>
        <w:spacing w:before="120" w:after="120" w:line="288" w:lineRule="auto"/>
        <w:ind w:left="0"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买人恶意串通、弄虚作假、违规竞价的，其竞价结果无效，已缴纳的保证金不予退还，处置方有权追究其法律责任，情节严重的，禁止其参与处置方及其他后续任何资产处置项目，并将其违规行为通报国有资产监管部门，涉嫌违纪违法的，移交相关部门处理。</w:t>
      </w:r>
    </w:p>
    <w:p w14:paraId="452CD497">
      <w:pPr>
        <w:widowControl w:val="0"/>
        <w:spacing w:before="120" w:after="120" w:line="288" w:lineRule="auto"/>
        <w:ind w:left="0" w:firstLine="560" w:firstLineChars="200"/>
        <w:jc w:val="left"/>
      </w:pPr>
      <w:r>
        <w:rPr>
          <w:rFonts w:hint="eastAsia" w:ascii="方正仿宋_GB2312" w:hAnsi="方正仿宋_GB2312" w:eastAsia="方正仿宋_GB2312" w:cs="方正仿宋_GB2312"/>
          <w:sz w:val="28"/>
          <w:szCs w:val="28"/>
        </w:rPr>
        <w:t>本规则未尽事宜，按照</w:t>
      </w:r>
      <w:r>
        <w:rPr>
          <w:rFonts w:hint="eastAsia" w:ascii="方正仿宋_GB2312" w:hAnsi="方正仿宋_GB2312" w:eastAsia="方正仿宋_GB2312" w:cs="方正仿宋_GB2312"/>
          <w:color w:val="FF0000"/>
          <w:sz w:val="28"/>
          <w:szCs w:val="28"/>
        </w:rPr>
        <w:t>《新疆维吾尔自治区行政事业单位区国有资产处置管理办法》《行政事业性国有资产管理条例》</w:t>
      </w:r>
      <w:r>
        <w:rPr>
          <w:rFonts w:hint="eastAsia" w:ascii="方正仿宋_GB2312" w:hAnsi="方正仿宋_GB2312" w:eastAsia="方正仿宋_GB2312" w:cs="方正仿宋_GB2312"/>
          <w:sz w:val="28"/>
          <w:szCs w:val="28"/>
        </w:rPr>
        <w:t>等相关法律法规及本次资产处置公告约定执行，若本规则与公告约定不一致，以公告约定为准；若与国有资产监管部门相关规定冲突，按监管部门规定执行。</w:t>
      </w:r>
    </w:p>
    <w:p w14:paraId="271E616B">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DD6F15-FCED-4634-9D9A-4273A1D1C66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8E47E64-A33E-4042-A4AE-358452C50E55}"/>
  </w:font>
  <w:font w:name="方正仿宋_GB2312">
    <w:panose1 w:val="02000000000000000000"/>
    <w:charset w:val="86"/>
    <w:family w:val="auto"/>
    <w:pitch w:val="default"/>
    <w:sig w:usb0="A00002BF" w:usb1="184F6CFA" w:usb2="00000012" w:usb3="00000000" w:csb0="00040001" w:csb1="00000000"/>
    <w:embedRegular r:id="rId3" w:fontKey="{98F58E1A-A5B0-475A-BDD5-CFD87F326D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0A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E0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2E4522F"/>
    <w:rsid w:val="07BF2283"/>
    <w:rsid w:val="191775ED"/>
    <w:rsid w:val="21823A71"/>
    <w:rsid w:val="2C0E601D"/>
    <w:rsid w:val="3AD20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3317</Words>
  <Characters>3322</Characters>
  <TotalTime>30</TotalTime>
  <ScaleCrop>false</ScaleCrop>
  <LinksUpToDate>false</LinksUpToDate>
  <CharactersWithSpaces>3326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2026-05-09T05:03:00Z</dcterms:created>
  <dc:creator>Apache POI</dc:creator>
  <cp:lastModifiedBy>刘鑫龙</cp:lastModifiedBy>
  <dcterms:modified xsi:type="dcterms:W3CDTF">2026-05-19T04:34:08Z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eyJoZGlkIjoiZmQ2MjY1YTFlNmI5MDg1M2E4NjFhMWVjMjNiYzllYmUiLCJ1c2VySWQiOiIxNDU4NTEzMzQ2In0=</vt:lpwstr>
  </property>
  <property fmtid="{D5CDD505-2E9C-101B-9397-08002B2CF9AE}" pid="3" name="KSOProductBuildVer">
    <vt:lpwstr>2052-12.1.0.20305</vt:lpwstr>
  </property>
  <property fmtid="{D5CDD505-2E9C-101B-9397-08002B2CF9AE}" pid="4" name="ICV">
    <vt:lpwstr>A4E90EF0371344F0B8E115A00786FAFD_12</vt:lpwstr>
  </property>
</Properties>
</file>